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40" w:lineRule="auto"/>
        <w:ind w:left="720" w:hanging="360"/>
        <w:rPr>
          <w:b w:val="1"/>
          <w:sz w:val="34"/>
          <w:szCs w:val="34"/>
        </w:rPr>
      </w:pPr>
      <w:bookmarkStart w:colFirst="0" w:colLast="0" w:name="_heading=h.erls0tbjarpq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PLAN DE PREPARACIÓN PARA INMIGRANTES ANTE UNA POSIBLE DETENCIÓN O DEPORTACIÓN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(Enfocado en Queens, Nueva York)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14fhc6wph2fi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Información Legal Básica: Conoce Tus Derechos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Tienes derecho a guardar silencio.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No abras la puerta si agentes de ICE no presentan una orden judicial firmada por un juez.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No firmes ningún documento sin antes consultar con un abogado.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Tienes derecho a hablar con un abogado antes de responder preguntas.</w:t>
      </w:r>
    </w:p>
    <w:p w:rsidR="00000000" w:rsidDel="00000000" w:rsidP="00000000" w:rsidRDefault="00000000" w:rsidRPr="00000000" w14:paraId="00000008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Ten un abogado identificado: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Guarda su información de contacto en tu teléfono y por escrito en un lugar accesible.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Investiga organizaciones legales confiables en Queens que brindan asistencia gratuita o a bajo costo (ver lista al final).</w:t>
      </w:r>
    </w:p>
    <w:p w:rsidR="00000000" w:rsidDel="00000000" w:rsidP="00000000" w:rsidRDefault="00000000" w:rsidRPr="00000000" w14:paraId="0000000B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Consulta sobre tus posibles opciones migratorias: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Asilo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VAWA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Visas U o T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DACA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TPS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Cancelación de deportación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Ajuste de estatus u otras formas de alivio migratorio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324ev5may59d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Documentación Importante</w:t>
      </w:r>
    </w:p>
    <w:p w:rsidR="00000000" w:rsidDel="00000000" w:rsidP="00000000" w:rsidRDefault="00000000" w:rsidRPr="00000000" w14:paraId="0000001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Guarda en una carpeta segura, y asegúrate de que una persona de confianza sepa dónde encontrarla: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Pasaporte y documentos de identidad de todos los miembros de la familia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Certificados de nacimiento, matrimonio o divorcio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Pruebas de residencia en los EE.UU. (rentas, facturas, cartas oficiales, etc.)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Registros médicos y escolares de los hijos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Declaraciones de impuestos y talonarios de pago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Cartas de recomendación o apoyo comunitario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1fq5zoczlugu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Poder Legal / Poder Notarial</w:t>
      </w:r>
    </w:p>
    <w:p w:rsidR="00000000" w:rsidDel="00000000" w:rsidP="00000000" w:rsidRDefault="00000000" w:rsidRPr="00000000" w14:paraId="0000001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Designa a una persona de confianza para que pueda legalmente: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Tomar decisiones en tu nombre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Cuidar de tus hijos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Acceder a tus cuentas bancarias, propiedades o pertenencias</w:t>
      </w:r>
    </w:p>
    <w:p w:rsidR="00000000" w:rsidDel="00000000" w:rsidP="00000000" w:rsidRDefault="00000000" w:rsidRPr="00000000" w14:paraId="0000002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Consulta con un abogado o una organización legal para redactar y notarizar este documento de forma válida.</w:t>
      </w:r>
    </w:p>
    <w:p w:rsidR="00000000" w:rsidDel="00000000" w:rsidP="00000000" w:rsidRDefault="00000000" w:rsidRPr="00000000" w14:paraId="00000021">
      <w:pPr>
        <w:spacing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5xe9j1cj261d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Planificación para los Hijos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Asigna a un tutor temporal con poder legal en caso de emergencia.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Ten listos los pasaportes, récords médicos y escolares de tus hijos.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Habla con tus hijos (según su edad) sobre lo que deben hacer si tú no estás.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Agrega el nombre de un ciudadano o residente permanente en la “tarjeta azul” de la escuela de tu hijo/a para que pueda recogerlo legalmente.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Si eres detenido/a, pide que tu familia contacte al/la Coordinador/a de Padres o al/la Director/a de la escuela de inmediato. Ellos pueden brindar apoyo y recursos.</w:t>
      </w:r>
    </w:p>
    <w:p w:rsidR="00000000" w:rsidDel="00000000" w:rsidP="00000000" w:rsidRDefault="00000000" w:rsidRPr="00000000" w14:paraId="00000028">
      <w:pPr>
        <w:spacing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th5prcs6hows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Contactos de Emergencia</w:t>
      </w:r>
    </w:p>
    <w:p w:rsidR="00000000" w:rsidDel="00000000" w:rsidP="00000000" w:rsidRDefault="00000000" w:rsidRPr="00000000" w14:paraId="0000002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Ten accesible una lista con los siguientes contactos: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Abogado/a de inmigración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Escuela de los hijos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Tutor/a designado/a para los niños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Consulado del país de origen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Organización comunitaria local de confianza</w:t>
      </w:r>
    </w:p>
    <w:p w:rsidR="00000000" w:rsidDel="00000000" w:rsidP="00000000" w:rsidRDefault="00000000" w:rsidRPr="00000000" w14:paraId="00000030">
      <w:pPr>
        <w:spacing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bam4shsgtl85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Plan Financiero</w:t>
      </w:r>
    </w:p>
    <w:p w:rsidR="00000000" w:rsidDel="00000000" w:rsidP="00000000" w:rsidRDefault="00000000" w:rsidRPr="00000000" w14:paraId="00000032">
      <w:pPr>
        <w:numPr>
          <w:ilvl w:val="0"/>
          <w:numId w:val="9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Guarda algo de efectivo para emergencias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Deja instrucciones claras sobre el pago de renta, servicios y cuentas importantes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Considera abrir una cuenta bancaria conjunta con una persona de confianza</w:t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Deja copia de documentos bancarios importantes</w:t>
      </w:r>
    </w:p>
    <w:p w:rsidR="00000000" w:rsidDel="00000000" w:rsidP="00000000" w:rsidRDefault="00000000" w:rsidRPr="00000000" w14:paraId="00000036">
      <w:pPr>
        <w:spacing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4yk6gj7yrsj8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Plan de Comunicación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Memoriza al menos un número telefónico de confianza (idealmente el de tu abogado o un familiar)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Informa a tu red de contactos de confianza sobre tu situación legal y qué hacer si eres detenido/a</w:t>
      </w:r>
    </w:p>
    <w:p w:rsidR="00000000" w:rsidDel="00000000" w:rsidP="00000000" w:rsidRDefault="00000000" w:rsidRPr="00000000" w14:paraId="0000003A">
      <w:pPr>
        <w:spacing w:lin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240" w:lineRule="auto"/>
        <w:ind w:left="720" w:hanging="360"/>
        <w:rPr>
          <w:b w:val="1"/>
          <w:color w:val="000000"/>
          <w:sz w:val="26"/>
          <w:szCs w:val="26"/>
        </w:rPr>
      </w:pPr>
      <w:bookmarkStart w:colFirst="0" w:colLast="0" w:name="_heading=h.lbt66lwk8lie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¿Qué Hacer Si Eres Detenido/a?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0" w:afterAutospacing="0" w:before="240" w:line="240" w:lineRule="auto"/>
        <w:ind w:left="720" w:hanging="360"/>
      </w:pPr>
      <w:r w:rsidDel="00000000" w:rsidR="00000000" w:rsidRPr="00000000">
        <w:rPr>
          <w:rtl w:val="0"/>
        </w:rPr>
        <w:t xml:space="preserve">Guarda silencio y pide hablar con un abogado: “Quiero hablar con un abogado.”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No firmes ningún documento sin que tu abogado lo revise.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Llama a tu contacto de emergencia.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24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Pide hablar con tu consulado.</w:t>
      </w:r>
    </w:p>
    <w:p w:rsidR="00000000" w:rsidDel="00000000" w:rsidP="00000000" w:rsidRDefault="00000000" w:rsidRPr="00000000" w14:paraId="00000040">
      <w:pPr>
        <w:spacing w:after="0" w:before="0" w:line="12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before="39.1534423828125" w:line="264.37291145324707" w:lineRule="auto"/>
        <w:ind w:left="0" w:right="941.9903564453125" w:firstLine="0"/>
        <w:rPr>
          <w:color w:val="1f1f1f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9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GyMpxKIQ8lEYgFEeqjMYRMt4gQ==">CgMxLjAyDmguZXJsczB0YmphcnBxMg5oLjE0ZmhjNndwaDJmaTIOaC4zMjRldjVtYXk1OWQyDmguMWZxNXpvY3psdWd1Mg5oLjV4ZTlqMWNqMjYxZDIOaC50aDVwcmNzNmhvd3MyDmguYmFtNHNoc2d0bDg1Mg5oLjR5azZnajd5cnNqODIOaC5sYnQ2Nmx3azhsaWU4AHIhMVh6RWVZeVcyczdMR1lKSGxiaWUyN1BvazZlNGdYd3FF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